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PREGÃO ELETRÔNICO Nº 65/2022.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CONTRATO ADMINISTRATIVO Nº</w:t>
      </w:r>
      <w:r>
        <w:rPr>
          <w:rFonts w:cs="Arial" w:ascii="Arial" w:hAnsi="Arial"/>
          <w:bCs/>
          <w:sz w:val="24"/>
          <w:szCs w:val="24"/>
        </w:rPr>
        <w:t xml:space="preserve"> </w:t>
      </w:r>
      <w:r>
        <w:rPr>
          <w:rFonts w:cs="Arial" w:ascii="Arial" w:hAnsi="Arial"/>
          <w:b/>
          <w:bCs/>
          <w:sz w:val="24"/>
          <w:szCs w:val="24"/>
        </w:rPr>
        <w:t xml:space="preserve">273/2022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PRIMEIRA AÇÃO VIGILANCIA E SEGURANÇA LTDA</w:t>
      </w:r>
      <w:r>
        <w:rPr>
          <w:rFonts w:cs="Arial" w:ascii="Arial" w:hAnsi="Arial"/>
          <w:bCs/>
          <w:sz w:val="24"/>
          <w:szCs w:val="24"/>
        </w:rPr>
        <w:t xml:space="preserve">, inscrita no CNPJ sob o nº 31.798.997/0001-09, com sede na cidade de TOLEDO, na </w:t>
      </w:r>
      <w:r>
        <w:rPr>
          <w:rFonts w:cs="Arial" w:ascii="Arial" w:hAnsi="Arial"/>
          <w:bCs/>
          <w:sz w:val="24"/>
          <w:szCs w:val="24"/>
        </w:rPr>
        <w:t>Rua Hilberto Peiter</w:t>
      </w:r>
      <w:r>
        <w:rPr>
          <w:rFonts w:cs="Arial" w:ascii="Arial" w:hAnsi="Arial"/>
          <w:bCs/>
          <w:sz w:val="24"/>
          <w:szCs w:val="24"/>
        </w:rPr>
        <w:t xml:space="preserve">, nº </w:t>
      </w:r>
      <w:r>
        <w:rPr>
          <w:rFonts w:cs="Arial" w:ascii="Arial" w:hAnsi="Arial"/>
          <w:bCs/>
          <w:sz w:val="24"/>
          <w:szCs w:val="24"/>
        </w:rPr>
        <w:t>430</w:t>
      </w:r>
      <w:r>
        <w:rPr>
          <w:rFonts w:cs="Arial" w:ascii="Arial" w:hAnsi="Arial"/>
          <w:bCs/>
          <w:sz w:val="24"/>
          <w:szCs w:val="24"/>
        </w:rPr>
        <w:t xml:space="preserve">, Bairro </w:t>
      </w:r>
      <w:r>
        <w:rPr>
          <w:rFonts w:cs="Arial" w:ascii="Arial" w:hAnsi="Arial"/>
          <w:bCs/>
          <w:sz w:val="24"/>
          <w:szCs w:val="24"/>
        </w:rPr>
        <w:t>Jardim Parizzotto</w:t>
      </w:r>
      <w:r>
        <w:rPr>
          <w:rFonts w:cs="Arial" w:ascii="Arial" w:hAnsi="Arial"/>
          <w:bCs/>
          <w:sz w:val="24"/>
          <w:szCs w:val="24"/>
        </w:rPr>
        <w:t xml:space="preserve">, neste ato representada por </w:t>
      </w:r>
      <w:r>
        <w:rPr>
          <w:rFonts w:cs="Arial" w:ascii="Arial" w:hAnsi="Arial"/>
          <w:b/>
          <w:bCs/>
          <w:sz w:val="24"/>
          <w:szCs w:val="24"/>
        </w:rPr>
        <w:t>GILBERTO FRAGA DE PAULA</w:t>
      </w:r>
      <w:r>
        <w:rPr>
          <w:rFonts w:cs="Arial" w:ascii="Arial" w:hAnsi="Arial"/>
          <w:bCs/>
          <w:sz w:val="24"/>
          <w:szCs w:val="24"/>
        </w:rPr>
        <w:t>, CPF nº 813.325.481-72, RG nº 852671, expedida por SSP/PR, doravante designada CONTRATADA, têm justo e contratado entre si, em decorrência do PREGÃO ELETRÔNICO Nº 65</w:t>
      </w:r>
      <w:r>
        <w:rPr>
          <w:rFonts w:cs="Arial" w:ascii="Arial" w:hAnsi="Arial"/>
          <w:b w:val="false"/>
          <w:bCs w:val="false"/>
          <w:sz w:val="24"/>
          <w:szCs w:val="24"/>
        </w:rPr>
        <w:t>/2022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1.1</w:t>
      </w:r>
      <w:r>
        <w:rPr>
          <w:rFonts w:cs="Arial" w:ascii="Arial" w:hAnsi="Arial"/>
          <w:bCs/>
          <w:sz w:val="24"/>
          <w:szCs w:val="24"/>
        </w:rPr>
        <w:t xml:space="preserve"> - É objeto do presente Contrato a </w:t>
      </w:r>
      <w:r>
        <w:rPr>
          <w:rFonts w:cs="Arial" w:ascii="Arial" w:hAnsi="Arial"/>
          <w:b/>
          <w:bCs/>
          <w:sz w:val="24"/>
          <w:szCs w:val="24"/>
        </w:rPr>
        <w:t>SERVIÇO DE VIGILÂNCIA ARMADA PARA O SIMPR.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65</w:t>
      </w:r>
      <w:r>
        <w:rPr>
          <w:rFonts w:cs="Arial" w:ascii="Arial" w:hAnsi="Arial"/>
          <w:b w:val="false"/>
          <w:bCs w:val="false"/>
          <w:sz w:val="24"/>
          <w:szCs w:val="24"/>
        </w:rPr>
        <w:t xml:space="preserve">/2022.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R$ 273.599,88 </w:t>
      </w:r>
      <w:r>
        <w:rPr>
          <w:rFonts w:cs="Arial" w:ascii="Arial" w:hAnsi="Arial"/>
          <w:bCs/>
          <w:sz w:val="24"/>
          <w:szCs w:val="24"/>
        </w:rPr>
        <w:t>(duzentos e setenta e três mil quinhentos e noventa e nove reais e oitenta e oito centavos)</w:t>
      </w:r>
      <w:r>
        <w:rPr>
          <w:rFonts w:cs="Arial" w:ascii="Arial" w:hAnsi="Arial"/>
          <w:bCs/>
          <w:sz w:val="24"/>
          <w:szCs w:val="24"/>
        </w:rPr>
        <w:t>, referente aos itens do PREGÃO ELETRÔNICO Nº 65</w:t>
      </w:r>
      <w:r>
        <w:rPr>
          <w:rFonts w:cs="Arial" w:ascii="Arial" w:hAnsi="Arial"/>
          <w:b w:val="false"/>
          <w:bCs w:val="false"/>
          <w:sz w:val="24"/>
          <w:szCs w:val="24"/>
        </w:rPr>
        <w:t>/2022,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900"/>
        <w:gridCol w:w="975"/>
        <w:gridCol w:w="1350"/>
        <w:gridCol w:w="2385"/>
        <w:gridCol w:w="915"/>
        <w:gridCol w:w="960"/>
        <w:gridCol w:w="1594"/>
        <w:gridCol w:w="1300"/>
      </w:tblGrid>
      <w:tr>
        <w:trPr/>
        <w:tc>
          <w:tcPr>
            <w:tcW w:w="900" w:type="dxa"/>
            <w:tcBorders>
              <w:top w:val="single" w:sz="2" w:space="0" w:color="000000"/>
              <w:left w:val="single" w:sz="2" w:space="0" w:color="000000"/>
              <w:bottom w:val="single" w:sz="2" w:space="0" w:color="000000"/>
            </w:tcBorders>
          </w:tcPr>
          <w:p>
            <w:pPr>
              <w:pStyle w:val="Contedodatabela"/>
              <w:widowControl/>
              <w:suppressLineNumbers/>
              <w:overflowPunct w:val="false"/>
              <w:autoSpaceDE w:val="false"/>
              <w:bidi w:val="0"/>
              <w:ind w:left="0" w:right="170" w:hanging="0"/>
              <w:jc w:val="center"/>
              <w:textAlignment w:val="baseline"/>
              <w:rPr>
                <w:rFonts w:ascii="Arial" w:hAnsi="Arial"/>
                <w:b w:val="false"/>
                <w:b w:val="false"/>
                <w:bCs w:val="false"/>
                <w:sz w:val="24"/>
                <w:szCs w:val="24"/>
              </w:rPr>
            </w:pPr>
            <w:r>
              <w:rPr>
                <w:rFonts w:ascii="Arial" w:hAnsi="Arial"/>
                <w:b w:val="false"/>
                <w:bCs w:val="false"/>
                <w:sz w:val="24"/>
                <w:szCs w:val="24"/>
              </w:rPr>
              <w:t>LOTE</w:t>
            </w:r>
          </w:p>
        </w:tc>
        <w:tc>
          <w:tcPr>
            <w:tcW w:w="975" w:type="dxa"/>
            <w:tcBorders>
              <w:top w:val="single" w:sz="2" w:space="0" w:color="000000"/>
              <w:left w:val="single" w:sz="2" w:space="0" w:color="000000"/>
              <w:bottom w:val="single" w:sz="2" w:space="0" w:color="000000"/>
            </w:tcBorders>
          </w:tcPr>
          <w:p>
            <w:pPr>
              <w:pStyle w:val="Contedodatabela"/>
              <w:widowControl/>
              <w:suppressLineNumbers/>
              <w:overflowPunct w:val="false"/>
              <w:autoSpaceDE w:val="false"/>
              <w:bidi w:val="0"/>
              <w:ind w:left="-113" w:right="0" w:hanging="113"/>
              <w:jc w:val="center"/>
              <w:textAlignment w:val="baseline"/>
              <w:rPr>
                <w:rFonts w:ascii="Arial" w:hAnsi="Arial"/>
                <w:b w:val="false"/>
                <w:b w:val="false"/>
                <w:bCs w:val="false"/>
                <w:sz w:val="24"/>
                <w:szCs w:val="24"/>
              </w:rPr>
            </w:pPr>
            <w:r>
              <w:rPr>
                <w:rFonts w:ascii="Arial" w:hAnsi="Arial"/>
                <w:b w:val="false"/>
                <w:bCs w:val="false"/>
                <w:sz w:val="24"/>
                <w:szCs w:val="24"/>
              </w:rPr>
              <w:t>ITEM</w:t>
            </w:r>
          </w:p>
        </w:tc>
        <w:tc>
          <w:tcPr>
            <w:tcW w:w="1350" w:type="dxa"/>
            <w:tcBorders>
              <w:top w:val="single" w:sz="2" w:space="0" w:color="000000"/>
              <w:left w:val="single" w:sz="2" w:space="0" w:color="000000"/>
              <w:bottom w:val="single" w:sz="2" w:space="0" w:color="000000"/>
            </w:tcBorders>
          </w:tcPr>
          <w:p>
            <w:pPr>
              <w:pStyle w:val="Contedodatabela"/>
              <w:widowControl/>
              <w:suppressLineNumbers/>
              <w:overflowPunct w:val="false"/>
              <w:autoSpaceDE w:val="false"/>
              <w:bidi w:val="0"/>
              <w:ind w:left="0" w:right="0" w:hanging="113"/>
              <w:jc w:val="center"/>
              <w:textAlignment w:val="baseline"/>
              <w:rPr>
                <w:rFonts w:ascii="Arial" w:hAnsi="Arial"/>
                <w:b w:val="false"/>
                <w:b w:val="false"/>
                <w:bCs w:val="false"/>
                <w:sz w:val="24"/>
                <w:szCs w:val="24"/>
              </w:rPr>
            </w:pPr>
            <w:r>
              <w:rPr>
                <w:rFonts w:ascii="Arial" w:hAnsi="Arial"/>
                <w:b w:val="false"/>
                <w:bCs w:val="false"/>
                <w:sz w:val="24"/>
                <w:szCs w:val="24"/>
              </w:rPr>
              <w:t>MARCA</w:t>
            </w:r>
          </w:p>
        </w:tc>
        <w:tc>
          <w:tcPr>
            <w:tcW w:w="238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1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UND</w:t>
            </w:r>
          </w:p>
        </w:tc>
        <w:tc>
          <w:tcPr>
            <w:tcW w:w="960" w:type="dxa"/>
            <w:tcBorders>
              <w:top w:val="single" w:sz="2" w:space="0" w:color="000000"/>
              <w:left w:val="single" w:sz="2" w:space="0" w:color="000000"/>
              <w:bottom w:val="single" w:sz="2" w:space="0" w:color="000000"/>
            </w:tcBorders>
          </w:tcPr>
          <w:p>
            <w:pPr>
              <w:pStyle w:val="Contedodatabela"/>
              <w:widowControl/>
              <w:suppressLineNumbers/>
              <w:overflowPunct w:val="false"/>
              <w:autoSpaceDE w:val="false"/>
              <w:bidi w:val="0"/>
              <w:ind w:left="0" w:right="340" w:hanging="0"/>
              <w:jc w:val="center"/>
              <w:textAlignment w:val="baseline"/>
              <w:rPr>
                <w:rFonts w:ascii="Arial" w:hAnsi="Arial"/>
                <w:b w:val="false"/>
                <w:b w:val="false"/>
                <w:bCs w:val="false"/>
                <w:sz w:val="24"/>
                <w:szCs w:val="24"/>
              </w:rPr>
            </w:pPr>
            <w:r>
              <w:rPr>
                <w:rFonts w:ascii="Arial" w:hAnsi="Arial"/>
                <w:b w:val="false"/>
                <w:bCs w:val="false"/>
                <w:sz w:val="24"/>
                <w:szCs w:val="24"/>
              </w:rPr>
              <w:t>QTD</w:t>
            </w:r>
          </w:p>
        </w:tc>
        <w:tc>
          <w:tcPr>
            <w:tcW w:w="1594"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 xml:space="preserve">ÁRIO </w:t>
            </w:r>
            <w:r>
              <w:rPr>
                <w:rFonts w:ascii="Arial" w:hAnsi="Arial"/>
                <w:b w:val="false"/>
                <w:bCs w:val="false"/>
                <w:sz w:val="24"/>
                <w:szCs w:val="24"/>
              </w:rPr>
              <w:t>R$</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90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97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35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PRÓPRIA</w:t>
            </w:r>
          </w:p>
        </w:tc>
        <w:tc>
          <w:tcPr>
            <w:tcW w:w="238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SERVIÇOS DE SEGURANÇA ARMADA 24 HORAS POR DIA, INCLUSIVE SÁBADOS, DOMINGOS E FERIADOS, NO SIMPR</w:t>
            </w:r>
          </w:p>
        </w:tc>
        <w:tc>
          <w:tcPr>
            <w:tcW w:w="91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MÊS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w:t>
            </w:r>
          </w:p>
        </w:tc>
        <w:tc>
          <w:tcPr>
            <w:tcW w:w="1594"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22.799,99</w:t>
            </w:r>
          </w:p>
        </w:tc>
        <w:tc>
          <w:tcPr>
            <w:tcW w:w="1300" w:type="dxa"/>
            <w:tcBorders>
              <w:left w:val="single" w:sz="2" w:space="0" w:color="000000"/>
              <w:bottom w:val="single" w:sz="2" w:space="0" w:color="000000"/>
              <w:right w:val="single" w:sz="2" w:space="0" w:color="000000"/>
            </w:tcBorders>
          </w:tcPr>
          <w:p>
            <w:pPr>
              <w:pStyle w:val="Contedodatabela"/>
              <w:widowControl/>
              <w:suppressLineNumbers/>
              <w:overflowPunct w:val="false"/>
              <w:autoSpaceDE w:val="false"/>
              <w:bidi w:val="0"/>
              <w:ind w:left="0" w:right="0" w:hanging="57"/>
              <w:jc w:val="center"/>
              <w:textAlignment w:val="baseline"/>
              <w:rPr>
                <w:rFonts w:ascii="Arial" w:hAnsi="Arial"/>
                <w:sz w:val="24"/>
                <w:szCs w:val="24"/>
              </w:rPr>
            </w:pPr>
            <w:r>
              <w:rPr>
                <w:rFonts w:ascii="Arial" w:hAnsi="Arial"/>
                <w:sz w:val="24"/>
                <w:szCs w:val="24"/>
              </w:rPr>
              <w:t xml:space="preserve"> </w:t>
            </w:r>
            <w:r>
              <w:rPr>
                <w:rFonts w:ascii="Arial" w:hAnsi="Arial"/>
                <w:sz w:val="24"/>
                <w:szCs w:val="24"/>
              </w:rPr>
              <w:t>273.599,88</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conta-corrente</w:t>
      </w:r>
      <w:r>
        <w:rPr>
          <w:rFonts w:cs="Arial" w:ascii="Arial" w:hAnsi="Arial"/>
          <w:bCs/>
          <w:sz w:val="24"/>
          <w:szCs w:val="24"/>
        </w:rPr>
        <w:t xml:space="preserve"> de pessoa jurídica deverá estar vinculada no nome da licitante vencedora.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CLÁUSULA QUARTA - DO LOCAL </w:t>
      </w:r>
      <w:r>
        <w:rPr>
          <w:rFonts w:cs="Arial" w:ascii="Arial" w:hAnsi="Arial"/>
          <w:b/>
          <w:bCs/>
          <w:sz w:val="24"/>
          <w:szCs w:val="24"/>
        </w:rPr>
        <w:t>E SERVIÇOS</w:t>
      </w:r>
      <w:r>
        <w:rPr>
          <w:rFonts w:cs="Arial" w:ascii="Arial" w:hAnsi="Arial"/>
          <w:b/>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serviços serão prestados ao SIMPR, no endereço à Rua Poente do Sol, nº 788, bairro Brasmadeira, Cascavel - PR.</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O horário de prestação dos serviços será de 24 (vinte e quatro) horas ininterruptas, de segunda-feira à domingo, com vigilância armada.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Apurada, em qualquer tempo, divergência entre as especificações pré-fixadas e o fornecimento dos serviços,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4.4 </w:t>
      </w:r>
      <w:r>
        <w:rPr>
          <w:rFonts w:cs="Arial" w:ascii="Arial" w:hAnsi="Arial"/>
          <w:bCs/>
          <w:sz w:val="24"/>
          <w:szCs w:val="24"/>
        </w:rPr>
        <w:t>- A prova de entrega é a assinatura do(a) responsável pelo recebimento no canhoto da nota fiscal, que servirá apenas como ressalva ao fornecedor para fins de cumprimento dos serviços prestados.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4.5</w:t>
      </w:r>
      <w:r>
        <w:rPr>
          <w:rFonts w:cs="Arial" w:ascii="Arial" w:hAnsi="Arial"/>
          <w:bCs/>
          <w:sz w:val="24"/>
          <w:szCs w:val="24"/>
        </w:rPr>
        <w:t xml:space="preserve"> - Os serviços a serem entregues, quando da contratação, deverão corresponder às especificações da proposta, em total consonância com o edital, no que tange às suas características e padrão de qualidade, sob pena de rescisão contratual e penalidades cabíveis.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4.6</w:t>
      </w:r>
      <w:r>
        <w:rPr>
          <w:rFonts w:cs="Arial" w:ascii="Arial" w:hAnsi="Arial"/>
          <w:bCs/>
          <w:sz w:val="24"/>
          <w:szCs w:val="24"/>
        </w:rPr>
        <w:t xml:space="preserve"> -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4.7</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4.8</w:t>
      </w:r>
      <w:r>
        <w:rPr>
          <w:rFonts w:cs="Arial" w:ascii="Arial" w:hAnsi="Arial"/>
          <w:bCs/>
          <w:sz w:val="24"/>
          <w:szCs w:val="24"/>
        </w:rPr>
        <w:t xml:space="preserve"> - O recebimento pelo CONTRATANTE não modifica, restringe ou elide a plena responsabilidade da CONTRATADA de fornecer os serviços de acordo com as condições contidas no Edital, seus Anexos e na proposta da CONTRATADA, nem invalida qualquer reclamação que o CONTRATANTE venha a fazer em virtude de posterior constatação de serviços fora de especificação.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4.9</w:t>
      </w:r>
      <w:r>
        <w:rPr>
          <w:rFonts w:cs="Arial" w:ascii="Arial" w:hAnsi="Arial"/>
          <w:bCs/>
          <w:sz w:val="24"/>
          <w:szCs w:val="24"/>
        </w:rPr>
        <w:t xml:space="preserve"> - O SIMPR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w:t>
      </w:r>
      <w:r>
        <w:rPr>
          <w:rFonts w:cs="Arial" w:ascii="Arial" w:hAnsi="Arial"/>
          <w:bCs/>
          <w:sz w:val="24"/>
          <w:szCs w:val="24"/>
        </w:rPr>
        <w:t>01</w:t>
      </w:r>
      <w:r>
        <w:rPr>
          <w:rFonts w:cs="Arial" w:ascii="Arial" w:hAnsi="Arial"/>
          <w:bCs/>
          <w:sz w:val="24"/>
          <w:szCs w:val="24"/>
        </w:rPr>
        <w:t xml:space="preserve"> de </w:t>
      </w:r>
      <w:r>
        <w:rPr>
          <w:rFonts w:cs="Arial" w:ascii="Arial" w:hAnsi="Arial"/>
          <w:bCs/>
          <w:sz w:val="24"/>
          <w:szCs w:val="24"/>
        </w:rPr>
        <w:t>novembro</w:t>
      </w:r>
      <w:r>
        <w:rPr>
          <w:rFonts w:cs="Arial" w:ascii="Arial" w:hAnsi="Arial"/>
          <w:bCs/>
          <w:sz w:val="24"/>
          <w:szCs w:val="24"/>
        </w:rPr>
        <w:t xml:space="preserve"> de 2022 a </w:t>
      </w:r>
      <w:r>
        <w:rPr>
          <w:rFonts w:cs="Arial" w:ascii="Arial" w:hAnsi="Arial"/>
          <w:bCs/>
          <w:sz w:val="24"/>
          <w:szCs w:val="24"/>
        </w:rPr>
        <w:t>01</w:t>
      </w:r>
      <w:r>
        <w:rPr>
          <w:rFonts w:cs="Arial" w:ascii="Arial" w:hAnsi="Arial"/>
          <w:bCs/>
          <w:sz w:val="24"/>
          <w:szCs w:val="24"/>
        </w:rPr>
        <w:t xml:space="preserve"> de </w:t>
      </w:r>
      <w:r>
        <w:rPr>
          <w:rFonts w:cs="Arial" w:ascii="Arial" w:hAnsi="Arial"/>
          <w:bCs/>
          <w:sz w:val="24"/>
          <w:szCs w:val="24"/>
        </w:rPr>
        <w:t>novembro</w:t>
      </w:r>
      <w:r>
        <w:rPr>
          <w:rFonts w:cs="Arial" w:ascii="Arial" w:hAnsi="Arial"/>
          <w:bCs/>
          <w:sz w:val="24"/>
          <w:szCs w:val="24"/>
        </w:rPr>
        <w:t xml:space="preserve"> de 2023, podendo ser prorrogado mediante termo aditivo, nos termos do artigo 57, II da Lei nº 8.666/93, pelo prazo de até 60 (sessenta) meses.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w:t>
      </w:r>
      <w:r>
        <w:rPr>
          <w:rFonts w:cs="Arial" w:ascii="Arial" w:hAnsi="Arial"/>
          <w:bCs/>
          <w:sz w:val="24"/>
          <w:szCs w:val="24"/>
        </w:rPr>
        <w:t xml:space="preserve"> - O valor será reajustado, anualmente, com base no índice oficial INPC (Índice Nacional de Preços ao Consumidor) apurado no período, medido pela Fundação Getúlio Vargas, observado o interstício mínimo de 12 (doze) meses da assinatura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6.3</w:t>
      </w:r>
      <w:r>
        <w:rPr>
          <w:rFonts w:cs="Arial" w:ascii="Arial" w:hAnsi="Arial"/>
          <w:bCs/>
          <w:sz w:val="24"/>
          <w:szCs w:val="24"/>
        </w:rPr>
        <w:t xml:space="preserve"> - Durante a validade do contrato fica vedado qualquer reajustamento de preços, em atendimento ao § 1º, do artigo 2º, da Lei Federal nº 10.192/01, exceto em situações excepcionais.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w:t>
      </w:r>
      <w:r>
        <w:rPr>
          <w:rFonts w:cs="Arial" w:ascii="Arial" w:hAnsi="Arial"/>
          <w:bCs/>
          <w:sz w:val="24"/>
          <w:szCs w:val="24"/>
        </w:rPr>
        <w:t xml:space="preserve"> - Ao SIMPR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w:t>
      </w:r>
      <w:r>
        <w:rPr>
          <w:rFonts w:cs="Arial" w:ascii="Arial" w:hAnsi="Arial"/>
          <w:bCs/>
          <w:sz w:val="24"/>
          <w:szCs w:val="24"/>
        </w:rPr>
        <w:t xml:space="preserve"> -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6.5.1</w:t>
      </w:r>
      <w:r>
        <w:rPr>
          <w:rFonts w:cs="Arial" w:ascii="Arial" w:hAnsi="Arial"/>
          <w:bCs/>
          <w:sz w:val="24"/>
          <w:szCs w:val="24"/>
        </w:rPr>
        <w:t xml:space="preserve"> - Por ato unilateral escrito da Administração,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SIMPR.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O fornecedor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6.6</w:t>
      </w:r>
      <w:r>
        <w:rPr>
          <w:rFonts w:cs="Arial" w:ascii="Arial" w:hAnsi="Arial"/>
          <w:bCs/>
          <w:sz w:val="24"/>
          <w:szCs w:val="24"/>
        </w:rPr>
        <w:t xml:space="preserve"> - Amigavelmente, por acordo das partes, quando o fornecedor, mediante solicitação por escrito aceita motivadamente pelo SIMPR, comprovar estar impossibilitado de cumprir as exigências do instrumento convocatório que deu origem ao contrato, devendo o termo de rescisão dispor sobre a recomposição dos prejuízos do SIMPR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6.7</w:t>
      </w:r>
      <w:r>
        <w:rPr>
          <w:rFonts w:cs="Arial" w:ascii="Arial" w:hAnsi="Arial"/>
          <w:bCs/>
          <w:sz w:val="24"/>
          <w:szCs w:val="24"/>
        </w:rPr>
        <w:t xml:space="preserve"> - 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SIMPR.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6.8</w:t>
      </w:r>
      <w:r>
        <w:rPr>
          <w:rFonts w:cs="Arial" w:ascii="Arial" w:hAnsi="Arial"/>
          <w:bCs/>
          <w:sz w:val="24"/>
          <w:szCs w:val="24"/>
        </w:rPr>
        <w:t xml:space="preserve"> - 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w:t>
      </w:r>
      <w:r>
        <w:rPr>
          <w:rFonts w:cs="Arial" w:ascii="Arial" w:hAnsi="Arial"/>
          <w:bCs/>
          <w:sz w:val="24"/>
          <w:szCs w:val="24"/>
        </w:rPr>
        <w:t xml:space="preserve"> -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6.10</w:t>
      </w:r>
      <w:r>
        <w:rPr>
          <w:rFonts w:cs="Arial" w:ascii="Arial" w:hAnsi="Arial"/>
          <w:bCs/>
          <w:sz w:val="24"/>
          <w:szCs w:val="24"/>
        </w:rPr>
        <w:t xml:space="preserve"> - 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w:t>
      </w:r>
      <w:r>
        <w:rPr>
          <w:rFonts w:cs="Arial" w:ascii="Arial" w:hAnsi="Arial"/>
          <w:bCs/>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6.12</w:t>
      </w:r>
      <w:r>
        <w:rPr>
          <w:rFonts w:cs="Arial" w:ascii="Arial" w:hAnsi="Arial"/>
          <w:bCs/>
          <w:sz w:val="24"/>
          <w:szCs w:val="24"/>
        </w:rPr>
        <w:t xml:space="preserve"> -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6.13</w:t>
      </w:r>
      <w:r>
        <w:rPr>
          <w:rFonts w:cs="Arial" w:ascii="Arial" w:hAnsi="Arial"/>
          <w:bCs/>
          <w:sz w:val="24"/>
          <w:szCs w:val="24"/>
        </w:rPr>
        <w:t xml:space="preserve"> -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3.3.90.39.99.99.00 DEMAIS SERVIÇOS DE TERCEIROS, PESSOA JURÍDICA</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Executar os serviços em conformidade com as especificações contidas neste Termo de Referência.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Implantar os postos de trabalho nas datas estabelecidas no contrato.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Respeitar as normas e procedimentos estabelecidos pelo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Comunicar à fiscalização da Contratante qualquer anormalidade verificada.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Apresentar à fiscalização da Contratante a relação de armas e cópias autenticadas de seus registros.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Manter quadro de pessoal suficiente para o atendimento dos serviços, conforme previsto neste Termo de Referência, sem interrupções, seja por motivo de férias, descanso semanal, licença, greve, falta ao serviço e demissão de empregados.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Fornecer aos empregados envolvidos na execução dos serviços todos os equipamentos e materiais necessários à plena execução dos mesmos.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Orientar seus empregados no sentido de que, ao prestarem serviço nas dependências do Contratante, zelem pelo patrimônio público, bem como mantenham respeito com os servidores e visitantes.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Efetuar a substituição da mão de obra nos postos contratados, quando esta for considerada inadequada pelo Contratante.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Indicar e manter atualizados seus números de telefone fixo e celular, a fim de que a Contratante efetue quaisquer comunicações oficiais.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Encaminhar mensalmente à fiscalização da Contratante, relação dos empregados que fruirão de férias no mês subsequente, assim como daqueles que irão substituí-los.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8.1.12</w:t>
      </w:r>
      <w:r>
        <w:rPr>
          <w:rFonts w:cs="Arial" w:ascii="Arial" w:hAnsi="Arial"/>
          <w:bCs/>
          <w:sz w:val="24"/>
          <w:szCs w:val="24"/>
        </w:rPr>
        <w:t xml:space="preserve"> - Responsabilizar-se integralmente pelos serviços contratados, nos termos da legislação vigente e exigências editalícias, observadas as especificações, normas e outros detalhamentos, quando for o caso ou no que for aplicável, fazer cumprir, por parte de seus empregados e prepostos, as normas do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8.1.13</w:t>
      </w:r>
      <w:r>
        <w:rPr>
          <w:rFonts w:cs="Arial" w:ascii="Arial" w:hAnsi="Arial"/>
          <w:bCs/>
          <w:sz w:val="24"/>
          <w:szCs w:val="24"/>
        </w:rPr>
        <w:t xml:space="preserve"> - Assumir inteira responsabilidade quanto à garantia e qualidade dos serviços, reservando ao SIMPR o direito de recusá-lo caso não satisfaça aos padrões especificados.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8.1.14</w:t>
      </w:r>
      <w:r>
        <w:rPr>
          <w:rFonts w:cs="Arial" w:ascii="Arial" w:hAnsi="Arial"/>
          <w:bCs/>
          <w:sz w:val="24"/>
          <w:szCs w:val="24"/>
        </w:rPr>
        <w:t xml:space="preserve"> - Responder direta e exclusivamente pela execução do contrato, não podendo, em nenhuma hipótese, transferir a responsabilidade pelo fornecimento dos serviços a terceiros, sem o expresso consentimento do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8.1.15</w:t>
      </w:r>
      <w:r>
        <w:rPr>
          <w:rFonts w:cs="Arial" w:ascii="Arial" w:hAnsi="Arial"/>
          <w:bCs/>
          <w:sz w:val="24"/>
          <w:szCs w:val="24"/>
        </w:rPr>
        <w:t xml:space="preserve"> - Arcar com o pagamento de todos os encargos trabalhistas, fiscais, previdenciários, securitários e outros advindos da execução do objeto, de forma a eximir o SIMPR de quaisquer ônus e responsabilidades.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8.1.16 </w:t>
      </w:r>
      <w:r>
        <w:rPr>
          <w:rFonts w:cs="Arial" w:ascii="Arial" w:hAnsi="Arial"/>
          <w:bCs/>
          <w:sz w:val="24"/>
          <w:szCs w:val="24"/>
        </w:rPr>
        <w:t xml:space="preserve">- Responder por quaisquer danos ou prejuízos que venha, direta ou indiretamente, por sua culpa ou dolo, a causar ao SIMPR ou a terceiros, durante a execução do contrato de fornecimento, inclusive por atos praticados por seus funcionários, ficando, assim, afastada qualquer responsabilidade do SIMPR, podendo este, para o fim de garantir eventuais ressarcimentos, adotar as seguintes providências: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SIMPR.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8.1.17</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8.1.18</w:t>
      </w:r>
      <w:r>
        <w:rPr>
          <w:rFonts w:cs="Arial" w:ascii="Arial" w:hAnsi="Arial"/>
          <w:bCs/>
          <w:sz w:val="24"/>
          <w:szCs w:val="24"/>
        </w:rPr>
        <w:t xml:space="preserve"> - Manter à frente do serviço, pessoa qualificada, para representá-la junto à fiscalização.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8.1.19 </w:t>
      </w:r>
      <w:r>
        <w:rPr>
          <w:rFonts w:cs="Arial" w:ascii="Arial" w:hAnsi="Arial"/>
          <w:bCs/>
          <w:sz w:val="24"/>
          <w:szCs w:val="24"/>
        </w:rPr>
        <w:t>- Exercer a vigilância e proteção de seu posto de serviço e das áreas sob sua responsabilidade, bem como dos bens móveis e imóveis existentes.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8.1.20 </w:t>
      </w:r>
      <w:r>
        <w:rPr>
          <w:rFonts w:cs="Arial" w:ascii="Arial" w:hAnsi="Arial"/>
          <w:bCs/>
          <w:sz w:val="24"/>
          <w:szCs w:val="24"/>
        </w:rPr>
        <w:t xml:space="preserve">- Permitir o ingresso às instalações, prestando informações de caráter genérico ao público.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8.1.21</w:t>
      </w:r>
      <w:r>
        <w:rPr>
          <w:rFonts w:cs="Arial" w:ascii="Arial" w:hAnsi="Arial"/>
          <w:bCs/>
          <w:sz w:val="24"/>
          <w:szCs w:val="24"/>
        </w:rPr>
        <w:t xml:space="preserve"> - Cumprir e fazer cumprir as normas vigentes, no que for pertinente à sua esfera de atuação, evitando aglomerações, discussões e outras irregularidades em seu posto de serviço.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8.1.22</w:t>
      </w:r>
      <w:r>
        <w:rPr>
          <w:rFonts w:cs="Arial" w:ascii="Arial" w:hAnsi="Arial"/>
          <w:bCs/>
          <w:sz w:val="24"/>
          <w:szCs w:val="24"/>
        </w:rPr>
        <w:t xml:space="preserve"> - Registrar as irregularidades verificadas em seu turno de trabalho, anotando-as para que sejam tomadas as providências pertinentes.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8.1.23</w:t>
      </w:r>
      <w:r>
        <w:rPr>
          <w:rFonts w:cs="Arial" w:ascii="Arial" w:hAnsi="Arial"/>
          <w:bCs/>
          <w:sz w:val="24"/>
          <w:szCs w:val="24"/>
        </w:rPr>
        <w:t xml:space="preserve"> - Efetuar rondas determinadas pela fiscalização do contrato, cumprindo rigorosamente as escalas de serviço.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8.1.24</w:t>
      </w:r>
      <w:r>
        <w:rPr>
          <w:rFonts w:cs="Arial" w:ascii="Arial" w:hAnsi="Arial"/>
          <w:bCs/>
          <w:sz w:val="24"/>
          <w:szCs w:val="24"/>
        </w:rPr>
        <w:t xml:space="preserve"> - Aplicar, nas atividades diárias, os princípios de relações públicas e humanas recebidos nos cursos de formação, atendendo ao público, orientando-o e prestando-lhe informações.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8.1.25</w:t>
      </w:r>
      <w:r>
        <w:rPr>
          <w:rFonts w:cs="Arial" w:ascii="Arial" w:hAnsi="Arial"/>
          <w:bCs/>
          <w:sz w:val="24"/>
          <w:szCs w:val="24"/>
        </w:rPr>
        <w:t xml:space="preserve"> - Dar cobertura às autoridades que transitarem na sua área de serviço, quando solicitado pela fiscalização do contrato.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8.1.26</w:t>
      </w:r>
      <w:r>
        <w:rPr>
          <w:rFonts w:cs="Arial" w:ascii="Arial" w:hAnsi="Arial"/>
          <w:bCs/>
          <w:sz w:val="24"/>
          <w:szCs w:val="24"/>
        </w:rPr>
        <w:t xml:space="preserve"> - Executar outras tarefas correlatas e de mesmo nível de complexidade.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8.1.27 </w:t>
      </w:r>
      <w:r>
        <w:rPr>
          <w:rFonts w:cs="Arial" w:ascii="Arial" w:hAnsi="Arial"/>
          <w:bCs/>
          <w:sz w:val="24"/>
          <w:szCs w:val="24"/>
        </w:rPr>
        <w:t>- Fiscalizar a entrada e saída de veículos nas instalações, identificando o motorista e anotando a placa, inclusive dos servidores autorizados a estacionarem nas áreas que lhe são disponibilizadas, cuidando para que os portões permaneçam sempre fechados.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8.1.28</w:t>
      </w:r>
      <w:r>
        <w:rPr>
          <w:rFonts w:cs="Arial" w:ascii="Arial" w:hAnsi="Arial"/>
          <w:bCs/>
          <w:sz w:val="24"/>
          <w:szCs w:val="24"/>
        </w:rPr>
        <w:t xml:space="preserve"> - Controlar rigorosamente a entrada e saída de veículos e pessoas fora do horário normal de expediente, permitindo apenas quando devidamente autorizado seu ingresso, anotando em documento próprio (livro de ocorrências) nome, identidade, horário de entrada e saída, retendo a autorização, que deverá especificar os locais acessados e as tarefas e serem cumpridas.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8.1.29</w:t>
      </w:r>
      <w:r>
        <w:rPr>
          <w:rFonts w:cs="Arial" w:ascii="Arial" w:hAnsi="Arial"/>
          <w:bCs/>
          <w:sz w:val="24"/>
          <w:szCs w:val="24"/>
        </w:rPr>
        <w:t xml:space="preserve"> - Comunicar à fiscalização do contrato todo acontecimento entendido como irregular e/ou que atente contra o patrimônio do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8.1.30</w:t>
      </w:r>
      <w:r>
        <w:rPr>
          <w:rFonts w:cs="Arial" w:ascii="Arial" w:hAnsi="Arial"/>
          <w:bCs/>
          <w:sz w:val="24"/>
          <w:szCs w:val="24"/>
        </w:rPr>
        <w:t xml:space="preserve"> - Comunicar imediatamente à fiscalização do contrato qualquer dano ou defeito observado nos portões e portas de acesso às instalações.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8.1.31 </w:t>
      </w:r>
      <w:r>
        <w:rPr>
          <w:rFonts w:cs="Arial" w:ascii="Arial" w:hAnsi="Arial"/>
          <w:bCs/>
          <w:sz w:val="24"/>
          <w:szCs w:val="24"/>
        </w:rPr>
        <w:t>- Zelar pela limpeza e conservação do posto de trabalho.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8.1.32</w:t>
      </w:r>
      <w:r>
        <w:rPr>
          <w:rFonts w:cs="Arial" w:ascii="Arial" w:hAnsi="Arial"/>
          <w:bCs/>
          <w:sz w:val="24"/>
          <w:szCs w:val="24"/>
        </w:rPr>
        <w:t xml:space="preserve"> - Não permitir a utilização do posto para guarda de objetos estranhos ao local, inclusive bens de servidores, empregados ou terceiros.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8.1.33</w:t>
      </w:r>
      <w:r>
        <w:rPr>
          <w:rFonts w:cs="Arial" w:ascii="Arial" w:hAnsi="Arial"/>
          <w:bCs/>
          <w:sz w:val="24"/>
          <w:szCs w:val="24"/>
        </w:rPr>
        <w:t xml:space="preserve"> - Coibir a entrada de vendedores, ambulantes e assemelhados às instalações sem que estejam devidamente autorizados pela fiscalização do contrato.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8.1.34</w:t>
      </w:r>
      <w:r>
        <w:rPr>
          <w:rFonts w:cs="Arial" w:ascii="Arial" w:hAnsi="Arial"/>
          <w:bCs/>
          <w:sz w:val="24"/>
          <w:szCs w:val="24"/>
        </w:rPr>
        <w:t xml:space="preserve"> - Executar rondas diárias conforme recomendações da fiscalização do contrato, verificando todas as dependências, adotando cuidados e providências necessárias para o perfeito desempenho das funções e manutenção da tranquilidade das instalações.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8.1.35 </w:t>
      </w:r>
      <w:r>
        <w:rPr>
          <w:rFonts w:cs="Arial" w:ascii="Arial" w:hAnsi="Arial"/>
          <w:bCs/>
          <w:sz w:val="24"/>
          <w:szCs w:val="24"/>
        </w:rPr>
        <w:t>- Colaborar com as polícias civil e militar nas ocorrências de ordem policial sucedidas nas instalações do Contratante, facilitando, à medida do possível, a atuação daquelas entidades, inclusive na indicação de testemunhas presenciais de eventuais acontecimentos.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8.1.36</w:t>
      </w:r>
      <w:r>
        <w:rPr>
          <w:rFonts w:cs="Arial" w:ascii="Arial" w:hAnsi="Arial"/>
          <w:bCs/>
          <w:sz w:val="24"/>
          <w:szCs w:val="24"/>
        </w:rPr>
        <w:t xml:space="preserve"> - Permanecer no respectivo posto, sem afastar-se de seus afazeres.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8.1.37</w:t>
      </w:r>
      <w:r>
        <w:rPr>
          <w:rFonts w:cs="Arial" w:ascii="Arial" w:hAnsi="Arial"/>
          <w:bCs/>
          <w:sz w:val="24"/>
          <w:szCs w:val="24"/>
        </w:rPr>
        <w:t xml:space="preserve"> - Manter afixado no posto de trabalho, em local visível, o nº dos telefones úteis e de emergência, da delegacia de polícia, do corpo de bombeiros e dos responsáveis pelo acompanhamento ao contrato e congêneres.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8.1.38</w:t>
      </w:r>
      <w:r>
        <w:rPr>
          <w:rFonts w:cs="Arial" w:ascii="Arial" w:hAnsi="Arial"/>
          <w:bCs/>
          <w:sz w:val="24"/>
          <w:szCs w:val="24"/>
        </w:rPr>
        <w:t xml:space="preserve"> - Proibir a aglomeração de pessoas junto ao posto, comunicando o fato à fiscalização do contrato.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t>8.2 - DAS OBRIGAÇÕES DO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Comunicar à licitante vencedora qualquer irregularidade em relação aos serviços prestados.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Solicitar a substituição dos serviços prestados que não for bem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Prestar as informações e os esclarecimentos que venham a ser solicitados pela licitante vencedora.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8.2.4 </w:t>
      </w:r>
      <w:r>
        <w:rPr>
          <w:rFonts w:cs="Arial" w:ascii="Arial" w:hAnsi="Arial"/>
          <w:bCs/>
          <w:sz w:val="24"/>
          <w:szCs w:val="24"/>
        </w:rPr>
        <w:t xml:space="preserve">- Impedir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Efetuar o pagamento à licitante vencedora, mediante a apresentação da respectiva nota fiscal eletrônica, devidamente discriminada e acompanhada do correspondente atestado de entrega, emitido pela Comissão de Recebimento.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8.2.7 </w:t>
      </w:r>
      <w:r>
        <w:rPr>
          <w:rFonts w:cs="Arial" w:ascii="Arial" w:hAnsi="Arial"/>
          <w:bCs/>
          <w:sz w:val="24"/>
          <w:szCs w:val="24"/>
        </w:rPr>
        <w:t>-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8.2.8 </w:t>
      </w:r>
      <w:r>
        <w:rPr>
          <w:rFonts w:cs="Arial" w:ascii="Arial" w:hAnsi="Arial"/>
          <w:bCs/>
          <w:sz w:val="24"/>
          <w:szCs w:val="24"/>
        </w:rPr>
        <w:t>- Não obstante a EMPRESA VENCEDORA DA LICITAÇÃO seja a única e exclusiva responsável pela execução de todos os serviços, o SIMPR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contratante,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deste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do contratado que contenha a relação detalhada dos mesmos, de acordo com o estabelecido neste Termo de Referência, informando as respectivas quantidades e especificações técnicas, tais como: bolsas de estágio ativas, novos contratos, atendimentos realizados, ações de desenvolvimento.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contratante deverá promover o registro das ocorrências verificadas, adotando as providências necessárias ao fiel cumprimento das cláusulas contratuais, conforme o disposto nos §§ 1º e 2º do art. 67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pelo contratado,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do contratado a avaliação da execução do objeto ou, se for o caso, a avaliação de desempenho e da qualidade da prestação dos serviços realizada.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o próprio contratado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9.12 </w:t>
      </w:r>
      <w:r>
        <w:rPr>
          <w:rFonts w:cs="Arial" w:ascii="Arial" w:hAnsi="Arial"/>
          <w:bCs/>
          <w:sz w:val="24"/>
          <w:szCs w:val="24"/>
        </w:rPr>
        <w:t>- O contratado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ao contratado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CISOP ou do SIMPR, referente à irregularidade ou falhas, não exime o contratado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65</w:t>
      </w:r>
      <w:r>
        <w:rPr>
          <w:rFonts w:cs="Arial" w:ascii="Arial" w:hAnsi="Arial"/>
          <w:b w:val="false"/>
          <w:bCs w:val="false"/>
          <w:sz w:val="24"/>
          <w:szCs w:val="24"/>
        </w:rPr>
        <w:t>/2022,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10 de outubro de 2022.</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right="0" w:hanging="0"/>
        <w:jc w:val="center"/>
        <w:textAlignment w:val="baseline"/>
        <w:rPr>
          <w:rFonts w:ascii="Arial" w:hAnsi="Arial" w:cs="Arial"/>
          <w:bCs/>
          <w:sz w:val="24"/>
          <w:szCs w:val="24"/>
        </w:rPr>
      </w:pPr>
      <w:r>
        <w:rPr>
          <w:rFonts w:cs="Arial" w:ascii="Arial" w:hAnsi="Arial"/>
          <w:bCs/>
          <w:sz w:val="24"/>
          <w:szCs w:val="24"/>
        </w:rPr>
        <w:t>GILBERTO FRAGA DE PAULA</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GISELE CAETANO PINTO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LICITAÇÕES                               GERENTE DE CONTRATOS</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8">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132</TotalTime>
  <Application>LibreOffice/6.4.4.2$Windows_X86_64 LibreOffice_project/3d775be2011f3886db32dfd395a6a6d1ca2630ff</Application>
  <Pages>14</Pages>
  <Words>4445</Words>
  <Characters>24598</Characters>
  <CharactersWithSpaces>29190</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2022-10-10T17:13:25Z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